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38</w:t>
      </w:r>
    </w:p>
    <w:p>
      <w:r>
        <w:t>Bundesgericht (BGE), 1986-02-11, DE</w:t>
      </w:r>
    </w:p>
    <w:p>
      <w:r>
        <w:rPr>
          <w:b/>
        </w:rPr>
        <w:t xml:space="preserve">Quelle: </w:t>
      </w:r>
      <w:r>
        <w:t>https://mcp.opencaselaw.ch/entscheid/bge_112 II 38</w:t>
      </w:r>
    </w:p>
    <w:p>
      <w:r>
        <w:t>FR: ATF 112 II 38</w:t>
      </w:r>
    </w:p>
    <w:p>
      <w:r>
        <w:t>IT: DTF 112 II 38</w:t>
      </w:r>
    </w:p>
    <w:p>
      <w:pPr>
        <w:pStyle w:val="Heading2"/>
      </w:pPr>
      <w:r>
        <w:t>Regeste</w:t>
      </w:r>
    </w:p>
    <w:p>
      <w:r>
        <w:t>Regeste Arbeitsvertrag; Anspruch der Witwe des Arbeitnehmers gegenüber der Personalfürsorgestiftung. Sieht das Reglement der Personalfürsorgestiftung Leistungen nur für den Fall des Todes bei bestehendem Arbeitsverhältnis vor, stirbt der Arbeitnehmer jedoch nach Beendigung desselben, bevor die Stiftung Leistungen erbracht hat, so kommt dem Arbeitnehmer im Zeitpunkt seines Todes ein gesetzlicher Anspruch auf Vorsorgeleistungen aufgrund von Art. 331c OR zu (E. 4), der kraft Vertrags zugunsten Dritter und damit trotz Ausschlagung der Erbschaft auf die begünstigte Witwe übergeht und nicht mit Forderungen der Stifterfirma gegenüber dem verstorbenen Arbeitnehmer verrechnet werden darf (Art. 122 OR) (E. 3).</w:t>
      </w:r>
    </w:p>
    <w:p>
      <w:pPr>
        <w:pStyle w:val="Heading2"/>
      </w:pPr>
      <w:r>
        <w:t>Erwägungen</w:t>
      </w:r>
    </w:p>
    <w:p>
      <w:r>
        <w:rPr>
          <w:b/>
        </w:rPr>
        <w:t>E. 3</w:t>
      </w:r>
    </w:p>
    <w:p>
      <w:r>
        <w:t>Zu untersuchen ist, ob die Beklagte die Zahlung gestützt auf den ausschliesslich als Verrechnungsregel aufzufassenden Art. 5 des Reglements verweigern durfte. Mit der Berufung ist davon auszugehen, dass G. als Promissar mit der Beklagten als Promittentin einen echten Vertrag zugunsten Dritter gemäss Art. 112 Abs. 2 OR , vorliegend zugunsten der Klägerin als Begünstigter, abgeschlossen hat (Urteil des Bundesgerichts i.S. Brown c. Caisse de retraite Golay-Buchel &amp; Cie S.A. vom 18. Mai 1981, E. 1a, veröffentlicht in SZS 27 (1983) S. 39 f. mit zahlreichen Hinweisen). Als Arbeitnehmer liess sich G. für den Fall seines Ablebens Leistungen an die Hinterbliebenen versprechen. Dadurch entstand ein selbständiger, von der Erbenstellung der Klägerin unabhängiger Anspruch, der nicht in die Erbmasse fiel und von der Ausschlagung durch die Klägerin unberührt blieb (vgl. neben dem zitierten Urteil REYMOND, Les prestations des fonds de prévoyance en cas de décès prématuré, SZS 26 (1982) S. 178 f. sowie RIEMER, Das Recht der beruflichen Vorsorge in der Schweiz, 1985, S. 121, N. 36). Aus dem Vertrag zugunsten Dritter ergibt sich nicht nur die Unerheblichkeit der Ausschlagung für die BGE 112 II 38 S. 40 Ansprüche der Klägerin gegenüber der Beklagten, sondern auch die Unzulässigkeit, gestützt auf Art. 5 des Reglements eine Gegenforderung zur Verrechnung zu stellen. Wer sich wie die Beklagte zugunsten eines Dritten verpflichtet hat, kann diese Verbindlichkeit nicht mit Forderungen gegen den Promissar verrechnen ( Art. 122 OR ; siehe auch BGE 111 II 168 E. 2a).</w:t>
      </w:r>
    </w:p>
    <w:p>
      <w:r>
        <w:rPr>
          <w:b/>
        </w:rPr>
        <w:t>E. 4</w:t>
      </w:r>
    </w:p>
    <w:p>
      <w:r>
        <w:t>Die Nebenintervenientin macht geltend, der Vertrag zugunsten Dritter ändere nichts daran, dass die Ansprüche der Hinterlassenen das Schicksal derjenigen des Vorsorgenehmers teilten. Vorliegend enthalte das Reglement keine Regel darüber, was auszuzahlen sei, wenn ein Versicherter nach Beendigung des Arbeitsverhältnisses sterbe, bevor die Beklagte die Freizügigkeitsleistung erbracht habe. Art. 11 des Reglements erfasse nur den Fall des Todes bei bestehendem Arbeitsverhältnis; G. sei jedoch nach Beendigung desselben gestorben. Fehle es aber an einer Grundlage für die Leistung im Reglement, bleibe das Geld in der Stiftung. a) Diese Überlegungen können schon deshalb nicht zutreffen, weil es der Beklagten so ermöglicht würde, ihrer Leistungspflicht dadurch zu entgehen, dass sie die Zahlungen nach Beendigung des Arbeitsverhältnisses möglichst bis zum Tod des Arbeitnehmers hinauszögert. Eine solche Ordnung liefe dem Grundanliegen des Gesetzgebers, die Versorgung des Arbeitnehmers und seiner Angehörigen sicherzustellen und die Zweckentfremdung der dafür geäufneten Mittel zu verhindern, stracks zuwider (vgl. dazu schon Botschaft des Bundesrates über die Revision des Arbeitsvertragsrechts vom 25. August 1967, BBl 1967 II S. 241 ff., insbesondere S. 359 f.). b) Dass die Klägerin einen Vorsorgeanspruch aus Vertrag zugunsten Dritter bis zur Auflösung des Arbeitsvertrags des G. besass, steht fest. Wäre G. vor seinem Ausscheiden aus den Diensten der Anlagebank Zürich gestorben, so hätte sich die Klägerin auf Art. 11 des Reglements berufen können. Unabhängig vom Wortlaut dieses Reglements konnte aber auch die Beendigung des Arbeitsvertrags nicht zum Untergang des Vorsorgeanspruchs der Klägerin führen. Nach Art. 331c OR konnte die Beklagte ihre Verpflichtungen gegenüber G. und der Klägerin nämlich nur dadurch erfüllen, dass sie zugunsten der Anspruchsberechtigten eine Forderung auf künftige Vorsorgeleistungen sei es gegen sie selbst, sei es gegenüber einer andern Einrichtung (Abs. 1 und 3) begründete. Ein Ausnahmefall, der die Barauszahlung gestattet hätte BGE 112 II 38 S. 41 (Abs. 4), lag nicht vor; aus BGE 106 II 157 , wo das Bundesgericht die Verrechnung in einem Fall, in dem die Destinatäre in bar abgefunden worden sind, als zulässig erachtet hat, kann die Nebenintervenientin deshalb nichts zu ihren Gunsten ableiten. Art. 331c OR gehört zu den Bestimmungen, von denen nicht zum Nachteil des Arbeitnehmers abgewichen werden kann ( Art. 362 OR ). Der Reglementsnachtrag, in Kraft seit 1. Januar 1977, sieht denn auch in einem neuen Art. 13 einen Anspruch auf Freizügigkeitsleistungen vor, der mit Auflösung des Arbeitsvertrags vor Erreichen des Rücktrittsalters entsteht (Abs. 1) und nur unter einschränkenden, hier nicht gegebenen Voraussetzungen durch Barzahlung erfüllt werden kann (Abs. 5). Mit seinem vorzeitigen Rücktritt hat G. Anspruch auf diese Leistungen erworben, deren Höhe sich nach Art. 13 Abs. 2 des Reglementsnachtrags bestimmt. Unerheblich ist, dass G. für keinen andern Arbeitgeber mehr tätig wurde; der Reglementsnachtrag spricht zwar von einem Anspruch auf eine Freizügigkeitsleistung, macht diesen jedoch nicht davon abhängig, dass der Arbeitnehmer eine neue Stelle antritt. Mit dem Tod von G. ist dieser Vorsorgeanspruch kraft Vertrags zugunsten Dritter auf die Klägerin übergegangen. Der Einwand der Nebenintervenientin, bei den Freizügigkeitsleistungen handle es sich gleichsam um höchstpersönliche Ansprüche, scheitert daran, dass diese Leistungen gemäss Art. 13 Abs. 4 des Reglementsnachtrags unter anderem mit dem Tod des Arbeitnehmers fällig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